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Ind w:w="-815" w:type="dxa"/>
        <w:tblLook w:val="04A0" w:firstRow="1" w:lastRow="0" w:firstColumn="1" w:lastColumn="0" w:noHBand="0" w:noVBand="1"/>
      </w:tblPr>
      <w:tblGrid>
        <w:gridCol w:w="9990"/>
      </w:tblGrid>
      <w:tr w:rsidR="00B173DA" w:rsidRPr="002573C7" w14:paraId="1A45DBF3" w14:textId="77777777" w:rsidTr="002573C7">
        <w:tc>
          <w:tcPr>
            <w:tcW w:w="9990" w:type="dxa"/>
          </w:tcPr>
          <w:p w14:paraId="2D2A4637" w14:textId="77777777" w:rsidR="00B173DA" w:rsidRPr="00452DDD" w:rsidRDefault="00B173DA" w:rsidP="00181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452DD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ΝΟΜΟΣΧΕΔΙΟ ΜΕ ΤΙΤΛΟ</w:t>
            </w:r>
          </w:p>
          <w:p w14:paraId="49D4891E" w14:textId="3EB71980" w:rsidR="00B173DA" w:rsidRPr="00452DDD" w:rsidRDefault="005146BE" w:rsidP="00181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«Ο ΠΕΡΙ </w:t>
            </w:r>
            <w:r w:rsidR="0068138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ΔΙΑΜΕΣΟΛΑΒΗΣΗΣ ΣΕ ΟΙΚΟΓΕΝΕΙΑΚΕΣ ΔΙΑΦΟΡΕΣ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(</w:t>
            </w:r>
            <w:r w:rsidR="00B173DA" w:rsidRPr="00452DD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ΡΟΠΟΠΟΙΗΤΙΚΟΣ) </w:t>
            </w:r>
            <w:r w:rsidR="00B173DA" w:rsidRPr="00452DDD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ΝΟΜΟΣ ΤΟΥ 2022».</w:t>
            </w:r>
          </w:p>
          <w:p w14:paraId="799D1544" w14:textId="77777777" w:rsidR="00B173DA" w:rsidRPr="00452DDD" w:rsidRDefault="00B173DA" w:rsidP="001811CF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7"/>
        <w:tblW w:w="9900" w:type="dxa"/>
        <w:tblLook w:val="04A0" w:firstRow="1" w:lastRow="0" w:firstColumn="1" w:lastColumn="0" w:noHBand="0" w:noVBand="1"/>
      </w:tblPr>
      <w:tblGrid>
        <w:gridCol w:w="2155"/>
        <w:gridCol w:w="720"/>
        <w:gridCol w:w="7025"/>
      </w:tblGrid>
      <w:tr w:rsidR="002573C7" w:rsidRPr="002573C7" w14:paraId="235BD300" w14:textId="77777777" w:rsidTr="002573C7">
        <w:trPr>
          <w:trHeight w:val="593"/>
        </w:trPr>
        <w:tc>
          <w:tcPr>
            <w:tcW w:w="2155" w:type="dxa"/>
          </w:tcPr>
          <w:p w14:paraId="7F747917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  <w:r w:rsidRPr="002573C7"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  <w:t>Συνοπτικός τίτλος.</w:t>
            </w:r>
          </w:p>
          <w:p w14:paraId="32565DE5" w14:textId="3B738DDA" w:rsidR="002573C7" w:rsidRPr="002573C7" w:rsidRDefault="002573C7" w:rsidP="002573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573C7"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  <w:t>62(Ι) του 2019.</w:t>
            </w:r>
          </w:p>
        </w:tc>
        <w:tc>
          <w:tcPr>
            <w:tcW w:w="7745" w:type="dxa"/>
            <w:gridSpan w:val="2"/>
          </w:tcPr>
          <w:p w14:paraId="365CDB74" w14:textId="77777777" w:rsidR="002573C7" w:rsidRPr="005146BE" w:rsidRDefault="002573C7" w:rsidP="002573C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1. </w:t>
            </w:r>
            <w:r w:rsidRPr="005146BE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5146BE">
              <w:rPr>
                <w:rFonts w:ascii="Arial" w:hAnsi="Arial" w:cs="Arial"/>
                <w:sz w:val="24"/>
                <w:szCs w:val="24"/>
                <w:lang w:val="el-GR"/>
              </w:rPr>
              <w:t>παρών Νόμος θα αναφέρεται ως ο περί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Διαμεσολάβησης σε Οικογενειακές Διαφορές (Τροποποιητικός) Νόμος του 2022.</w:t>
            </w:r>
          </w:p>
        </w:tc>
      </w:tr>
      <w:tr w:rsidR="002573C7" w:rsidRPr="002573C7" w14:paraId="2F52D033" w14:textId="77777777" w:rsidTr="002573C7">
        <w:trPr>
          <w:trHeight w:val="413"/>
        </w:trPr>
        <w:tc>
          <w:tcPr>
            <w:tcW w:w="2155" w:type="dxa"/>
          </w:tcPr>
          <w:p w14:paraId="14BA6305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</w:p>
        </w:tc>
        <w:tc>
          <w:tcPr>
            <w:tcW w:w="7745" w:type="dxa"/>
            <w:gridSpan w:val="2"/>
          </w:tcPr>
          <w:p w14:paraId="4D757D40" w14:textId="77777777" w:rsidR="002573C7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573C7" w:rsidRPr="002573C7" w14:paraId="475CF01A" w14:textId="77777777" w:rsidTr="002573C7">
        <w:tc>
          <w:tcPr>
            <w:tcW w:w="2155" w:type="dxa"/>
          </w:tcPr>
          <w:p w14:paraId="170A071A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  <w:r w:rsidRPr="002573C7"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  <w:t xml:space="preserve">Τροποποίηση του </w:t>
            </w:r>
          </w:p>
          <w:p w14:paraId="76BF2A5D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  <w:r w:rsidRPr="002573C7"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  <w:t xml:space="preserve"> άρθρου 8 του </w:t>
            </w:r>
          </w:p>
          <w:p w14:paraId="1EC91B49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  <w:r w:rsidRPr="002573C7"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  <w:t>βασικού Νόμου.</w:t>
            </w:r>
          </w:p>
        </w:tc>
        <w:tc>
          <w:tcPr>
            <w:tcW w:w="7745" w:type="dxa"/>
            <w:gridSpan w:val="2"/>
          </w:tcPr>
          <w:p w14:paraId="24288FC5" w14:textId="77777777" w:rsidR="002573C7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2. Το άρθρο </w:t>
            </w:r>
            <w:r w:rsidRPr="005146BE">
              <w:rPr>
                <w:rFonts w:ascii="Arial" w:hAnsi="Arial" w:cs="Arial"/>
                <w:sz w:val="24"/>
                <w:szCs w:val="24"/>
                <w:lang w:val="el-GR"/>
              </w:rPr>
              <w:t>8 του βα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σικού Νόμου τροποποιείται ως ακολούθως:</w:t>
            </w:r>
          </w:p>
          <w:p w14:paraId="432040A6" w14:textId="77777777" w:rsidR="002573C7" w:rsidRPr="002573C7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573C7" w:rsidRPr="002573C7" w14:paraId="22D0AE76" w14:textId="77777777" w:rsidTr="002573C7">
        <w:tc>
          <w:tcPr>
            <w:tcW w:w="2155" w:type="dxa"/>
          </w:tcPr>
          <w:p w14:paraId="53740071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</w:p>
        </w:tc>
        <w:tc>
          <w:tcPr>
            <w:tcW w:w="720" w:type="dxa"/>
          </w:tcPr>
          <w:p w14:paraId="2441D794" w14:textId="77777777" w:rsidR="002573C7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(α) </w:t>
            </w:r>
          </w:p>
        </w:tc>
        <w:tc>
          <w:tcPr>
            <w:tcW w:w="7025" w:type="dxa"/>
          </w:tcPr>
          <w:p w14:paraId="0CF80B28" w14:textId="77777777" w:rsidR="002573C7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 διαγραφή της παραγράφου (θ) του εδαφίου (1).</w:t>
            </w:r>
          </w:p>
        </w:tc>
      </w:tr>
      <w:tr w:rsidR="002573C7" w:rsidRPr="002573C7" w14:paraId="1B0D99BF" w14:textId="77777777" w:rsidTr="002573C7">
        <w:tc>
          <w:tcPr>
            <w:tcW w:w="2155" w:type="dxa"/>
          </w:tcPr>
          <w:p w14:paraId="3AC1AFCC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</w:p>
        </w:tc>
        <w:tc>
          <w:tcPr>
            <w:tcW w:w="7745" w:type="dxa"/>
            <w:gridSpan w:val="2"/>
          </w:tcPr>
          <w:p w14:paraId="3381F12A" w14:textId="77777777" w:rsidR="002573C7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573C7" w:rsidRPr="002573C7" w14:paraId="574E6C30" w14:textId="77777777" w:rsidTr="002573C7">
        <w:tc>
          <w:tcPr>
            <w:tcW w:w="2155" w:type="dxa"/>
          </w:tcPr>
          <w:p w14:paraId="73D004C8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  <w:r w:rsidRPr="002573C7"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  <w:t>Τροποποίηση του άρθρου 11 του βασικού Νόμου.</w:t>
            </w:r>
          </w:p>
        </w:tc>
        <w:tc>
          <w:tcPr>
            <w:tcW w:w="7745" w:type="dxa"/>
            <w:gridSpan w:val="2"/>
          </w:tcPr>
          <w:p w14:paraId="0E54690A" w14:textId="77777777" w:rsidR="002573C7" w:rsidRPr="00452954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3. Το άρ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l-GR"/>
              </w:rPr>
              <w:t>θρο 11 του βασικού Νόμου τροποποιείται ως ακολούθως:</w:t>
            </w:r>
          </w:p>
        </w:tc>
      </w:tr>
      <w:tr w:rsidR="002573C7" w:rsidRPr="002573C7" w14:paraId="0EA1D866" w14:textId="77777777" w:rsidTr="002573C7">
        <w:trPr>
          <w:trHeight w:val="188"/>
        </w:trPr>
        <w:tc>
          <w:tcPr>
            <w:tcW w:w="2155" w:type="dxa"/>
          </w:tcPr>
          <w:p w14:paraId="7699592E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</w:p>
        </w:tc>
        <w:tc>
          <w:tcPr>
            <w:tcW w:w="720" w:type="dxa"/>
          </w:tcPr>
          <w:p w14:paraId="73FF418E" w14:textId="77777777" w:rsidR="002573C7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7025" w:type="dxa"/>
          </w:tcPr>
          <w:p w14:paraId="2282CA91" w14:textId="77777777" w:rsidR="002573C7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την αντικατάσταση της φράσης «</w:t>
            </w:r>
            <w:r w:rsidRPr="00452954">
              <w:rPr>
                <w:rFonts w:ascii="Arial" w:hAnsi="Arial" w:cs="Arial"/>
                <w:sz w:val="24"/>
                <w:szCs w:val="24"/>
                <w:lang w:val="el-GR"/>
              </w:rPr>
              <w:t>είκοσι τεσσάρων (24) ωρών εκπαίδευσης ανά τριετία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της πρώτης τριετίας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αρχομένης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την πάροδο τριών (3) ετών» με τη φράση «οκτώ (8) ωρών εκπαίδευσης ανά έτος,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αρχομένου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την πάροδο δύο (2) ετών»</w:t>
            </w:r>
          </w:p>
        </w:tc>
      </w:tr>
      <w:tr w:rsidR="002573C7" w:rsidRPr="002573C7" w14:paraId="58E43ABD" w14:textId="77777777" w:rsidTr="002573C7">
        <w:trPr>
          <w:trHeight w:val="188"/>
        </w:trPr>
        <w:tc>
          <w:tcPr>
            <w:tcW w:w="2155" w:type="dxa"/>
          </w:tcPr>
          <w:p w14:paraId="71F76B9C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</w:p>
        </w:tc>
        <w:tc>
          <w:tcPr>
            <w:tcW w:w="7745" w:type="dxa"/>
            <w:gridSpan w:val="2"/>
          </w:tcPr>
          <w:p w14:paraId="3BE84678" w14:textId="77777777" w:rsidR="002573C7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573C7" w:rsidRPr="002573C7" w14:paraId="3139ED40" w14:textId="77777777" w:rsidTr="002573C7">
        <w:tc>
          <w:tcPr>
            <w:tcW w:w="2155" w:type="dxa"/>
          </w:tcPr>
          <w:p w14:paraId="46AE59FF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  <w:r w:rsidRPr="002573C7"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  <w:t>Τροποποίηση του άρθρου 43 του βασικού Νόμου</w:t>
            </w:r>
          </w:p>
        </w:tc>
        <w:tc>
          <w:tcPr>
            <w:tcW w:w="7745" w:type="dxa"/>
            <w:gridSpan w:val="2"/>
          </w:tcPr>
          <w:p w14:paraId="29BF76B6" w14:textId="77777777" w:rsidR="002573C7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3. Το άρθρο 43 του βασικού Νόμου τροποποιείται με τη διαγραφή της παραγράφου (δ) του εδαφίου (2). </w:t>
            </w:r>
          </w:p>
        </w:tc>
      </w:tr>
      <w:tr w:rsidR="002573C7" w:rsidRPr="002573C7" w14:paraId="082BBC2C" w14:textId="77777777" w:rsidTr="002573C7">
        <w:trPr>
          <w:trHeight w:val="323"/>
        </w:trPr>
        <w:tc>
          <w:tcPr>
            <w:tcW w:w="2155" w:type="dxa"/>
          </w:tcPr>
          <w:p w14:paraId="164F6E85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</w:p>
        </w:tc>
        <w:tc>
          <w:tcPr>
            <w:tcW w:w="7745" w:type="dxa"/>
            <w:gridSpan w:val="2"/>
          </w:tcPr>
          <w:p w14:paraId="004F95A0" w14:textId="77777777" w:rsidR="002573C7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573C7" w:rsidRPr="002573C7" w14:paraId="10310DED" w14:textId="77777777" w:rsidTr="002573C7">
        <w:tc>
          <w:tcPr>
            <w:tcW w:w="2155" w:type="dxa"/>
          </w:tcPr>
          <w:p w14:paraId="10DE9B70" w14:textId="77777777" w:rsidR="002573C7" w:rsidRPr="002573C7" w:rsidRDefault="002573C7" w:rsidP="002573C7">
            <w:pPr>
              <w:spacing w:after="60" w:line="36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l-GR"/>
              </w:rPr>
            </w:pPr>
            <w:r w:rsidRPr="002573C7">
              <w:rPr>
                <w:rFonts w:ascii="Arial" w:hAnsi="Arial" w:cs="Arial"/>
                <w:szCs w:val="24"/>
                <w:lang w:val="el-GR"/>
              </w:rPr>
              <w:t>Έναρξη ισχύος.</w:t>
            </w:r>
          </w:p>
        </w:tc>
        <w:tc>
          <w:tcPr>
            <w:tcW w:w="7745" w:type="dxa"/>
            <w:gridSpan w:val="2"/>
          </w:tcPr>
          <w:p w14:paraId="46FDC310" w14:textId="77777777" w:rsidR="002573C7" w:rsidRPr="00840FFE" w:rsidRDefault="002573C7" w:rsidP="00257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4. </w:t>
            </w:r>
            <w:r w:rsidRPr="00840FFE">
              <w:rPr>
                <w:rFonts w:ascii="Arial" w:hAnsi="Arial" w:cs="Arial"/>
                <w:sz w:val="24"/>
                <w:szCs w:val="24"/>
                <w:lang w:val="el-GR"/>
              </w:rPr>
              <w:t>Ο παρών Νόμος τίθεται σε ισχύ με τη δημοσίευση του στην Επίσημη Εφημερίδα της Δημοκρατίας.</w:t>
            </w:r>
          </w:p>
        </w:tc>
      </w:tr>
    </w:tbl>
    <w:p w14:paraId="527E6D0C" w14:textId="60EB5D5F" w:rsidR="0009782C" w:rsidRPr="00452DDD" w:rsidRDefault="0009782C">
      <w:pPr>
        <w:rPr>
          <w:rFonts w:ascii="Arial" w:hAnsi="Arial" w:cs="Arial"/>
          <w:sz w:val="24"/>
          <w:szCs w:val="24"/>
          <w:lang w:val="el-GR"/>
        </w:rPr>
      </w:pPr>
    </w:p>
    <w:sectPr w:rsidR="0009782C" w:rsidRPr="00452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0FD1"/>
    <w:multiLevelType w:val="hybridMultilevel"/>
    <w:tmpl w:val="9B967194"/>
    <w:lvl w:ilvl="0" w:tplc="562EAD6C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DA"/>
    <w:rsid w:val="0009782C"/>
    <w:rsid w:val="00164481"/>
    <w:rsid w:val="001E788A"/>
    <w:rsid w:val="001F0B69"/>
    <w:rsid w:val="002573C7"/>
    <w:rsid w:val="00293E18"/>
    <w:rsid w:val="003302AD"/>
    <w:rsid w:val="0038423D"/>
    <w:rsid w:val="00392993"/>
    <w:rsid w:val="00444014"/>
    <w:rsid w:val="00452954"/>
    <w:rsid w:val="00452DDD"/>
    <w:rsid w:val="00474A55"/>
    <w:rsid w:val="00491441"/>
    <w:rsid w:val="005146BE"/>
    <w:rsid w:val="00524CCC"/>
    <w:rsid w:val="005803A0"/>
    <w:rsid w:val="005942D7"/>
    <w:rsid w:val="006720E7"/>
    <w:rsid w:val="00681384"/>
    <w:rsid w:val="006B712D"/>
    <w:rsid w:val="00731EA0"/>
    <w:rsid w:val="007F54C8"/>
    <w:rsid w:val="00840FFE"/>
    <w:rsid w:val="00931C02"/>
    <w:rsid w:val="00981608"/>
    <w:rsid w:val="009E0A60"/>
    <w:rsid w:val="00B075F5"/>
    <w:rsid w:val="00B173DA"/>
    <w:rsid w:val="00B615B3"/>
    <w:rsid w:val="00D62C48"/>
    <w:rsid w:val="00E3085A"/>
    <w:rsid w:val="00E44A01"/>
    <w:rsid w:val="00EB0289"/>
    <w:rsid w:val="00F6250F"/>
    <w:rsid w:val="00FD1256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48A6"/>
  <w15:chartTrackingRefBased/>
  <w15:docId w15:val="{97D97EBE-E584-443E-85AE-23649E40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D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3DA"/>
    <w:pPr>
      <w:ind w:left="720"/>
      <w:contextualSpacing/>
    </w:pPr>
  </w:style>
  <w:style w:type="paragraph" w:styleId="Revision">
    <w:name w:val="Revision"/>
    <w:hidden/>
    <w:uiPriority w:val="99"/>
    <w:semiHidden/>
    <w:rsid w:val="00474A55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6B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indent1">
    <w:name w:val="indent1"/>
    <w:basedOn w:val="Normal"/>
    <w:rsid w:val="006B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18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F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Nicky Andreou</cp:lastModifiedBy>
  <cp:revision>2</cp:revision>
  <dcterms:created xsi:type="dcterms:W3CDTF">2022-10-03T08:20:00Z</dcterms:created>
  <dcterms:modified xsi:type="dcterms:W3CDTF">2022-10-03T08:20:00Z</dcterms:modified>
</cp:coreProperties>
</file>